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附件1</w:t>
      </w:r>
    </w:p>
    <w:p>
      <w:pPr>
        <w:spacing w:line="260" w:lineRule="exact"/>
        <w:rPr>
          <w:rFonts w:hint="eastAsia" w:ascii="宋体" w:hAnsi="宋体" w:eastAsia="宋体"/>
        </w:rPr>
      </w:pP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276"/>
        <w:gridCol w:w="8221"/>
        <w:gridCol w:w="1276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94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2025年重庆市住房城乡建设领域数字化转型能力建设项目—</w:t>
            </w: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>面向CIM的多业态综合体公共建筑智慧运营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>技术集成与应用示范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项目申报指南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研究方向</w:t>
            </w:r>
          </w:p>
        </w:tc>
        <w:tc>
          <w:tcPr>
            <w:tcW w:w="822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考核指标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研究期限（年）</w:t>
            </w:r>
          </w:p>
        </w:tc>
        <w:tc>
          <w:tcPr>
            <w:tcW w:w="1195" w:type="dxa"/>
            <w:vAlign w:val="center"/>
          </w:tcPr>
          <w:p>
            <w:pPr>
              <w:spacing w:line="2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经费限额（万元）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1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面向CIM的多业态综合体公共建筑智慧运营服务技术集成与应用示范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智慧建筑</w:t>
            </w:r>
          </w:p>
          <w:p>
            <w:pPr>
              <w:spacing w:line="26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解耦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多业态综合体公共建筑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空间与功能，构建软件定义建筑空间功能的理论方法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体系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定义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公共建筑最小运维单元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基于统一操作系统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实现建筑空间与功能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配置优化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形成《建筑智慧服务运营研究报告》。</w:t>
            </w:r>
          </w:p>
          <w:p>
            <w:pPr>
              <w:numPr>
                <w:ilvl w:val="0"/>
                <w:numId w:val="1"/>
              </w:numPr>
              <w:spacing w:line="2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完成一套面向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多业态综合体公共建筑服务运营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的智慧建筑空间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解决方案，包含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技术架构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网络架构、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软件功能架构、数据标准、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产品清单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  <w:p>
            <w:pPr>
              <w:spacing w:line="2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.在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多业态综合体公共建筑场景中实现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智慧安消、智慧设备、智慧能源、智慧车辆、智慧电梯、智慧交通和智慧物业等场景的示范应用。示范项目覆盖面积不少于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0000平方米。</w:t>
            </w:r>
          </w:p>
          <w:p>
            <w:pPr>
              <w:spacing w:line="2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.开发智慧公共建筑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服务运营工具集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，集成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不少于5类场景的10个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功能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组件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，实现各场景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组件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数据统一规范，互联互通。</w:t>
            </w:r>
          </w:p>
          <w:p>
            <w:pPr>
              <w:spacing w:line="2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研究成果入选省部级智能建造产品目录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  <w:p>
            <w:pPr>
              <w:spacing w:line="2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编制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多业态综合体公共建筑智慧服务运营指南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》并通过专家评审。</w:t>
            </w:r>
          </w:p>
          <w:p>
            <w:pPr>
              <w:spacing w:line="2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.培育数字化企业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家。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195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50</w:t>
            </w:r>
          </w:p>
        </w:tc>
      </w:tr>
    </w:tbl>
    <w:p>
      <w:pPr>
        <w:spacing w:line="260" w:lineRule="exact"/>
        <w:rPr>
          <w:rFonts w:hint="eastAsia" w:ascii="宋体" w:hAnsi="宋体" w:eastAsia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0CDD73"/>
    <w:multiLevelType w:val="singleLevel"/>
    <w:tmpl w:val="200CDD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53"/>
    <w:rsid w:val="000A3973"/>
    <w:rsid w:val="0022181C"/>
    <w:rsid w:val="002F1FD1"/>
    <w:rsid w:val="00770F88"/>
    <w:rsid w:val="00803C53"/>
    <w:rsid w:val="00C01287"/>
    <w:rsid w:val="00CE3DA2"/>
    <w:rsid w:val="13353897"/>
    <w:rsid w:val="16562CA1"/>
    <w:rsid w:val="1C80194D"/>
    <w:rsid w:val="1CBB314B"/>
    <w:rsid w:val="218E3BEC"/>
    <w:rsid w:val="293C1ED4"/>
    <w:rsid w:val="2F2B7A0B"/>
    <w:rsid w:val="35CB1A33"/>
    <w:rsid w:val="39174561"/>
    <w:rsid w:val="39B5502B"/>
    <w:rsid w:val="3A976388"/>
    <w:rsid w:val="4E0833CC"/>
    <w:rsid w:val="629B6F08"/>
    <w:rsid w:val="6A6634FD"/>
    <w:rsid w:val="6CC05D61"/>
    <w:rsid w:val="70073C03"/>
    <w:rsid w:val="702B2DD9"/>
    <w:rsid w:val="72A54D5D"/>
    <w:rsid w:val="7349296F"/>
    <w:rsid w:val="74B1077F"/>
    <w:rsid w:val="7C1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741</Words>
  <Characters>759</Characters>
  <Lines>5</Lines>
  <Paragraphs>1</Paragraphs>
  <TotalTime>1</TotalTime>
  <ScaleCrop>false</ScaleCrop>
  <LinksUpToDate>false</LinksUpToDate>
  <CharactersWithSpaces>759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2025-07-20T05:58:00Z</dcterms:created>
  <dc:creator>hedfly@163.com</dc:creator>
  <cp:lastModifiedBy>汪川东</cp:lastModifiedBy>
  <cp:lastPrinted>2025-07-22T02:52:00Z</cp:lastPrinted>
  <dcterms:modified xsi:type="dcterms:W3CDTF">2025-07-23T09:22:22Z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eyJoZGlkIjoiYmZiYjdkYmIwZDU2YmY4ZDVkNTczY2RiMmMwYzEwMGQiLCJ1c2VySWQiOiIyNDM4MTE1MzgifQ==</vt:lpwstr>
  </property>
  <property fmtid="{D5CDD505-2E9C-101B-9397-08002B2CF9AE}" pid="3" name="KSOProductBuildVer">
    <vt:lpwstr>2052-11.8.2.12265</vt:lpwstr>
  </property>
  <property fmtid="{D5CDD505-2E9C-101B-9397-08002B2CF9AE}" pid="4" name="ICV">
    <vt:lpwstr>CF2BC9B9A6B145A69E876899F0072F0E_12</vt:lpwstr>
  </property>
</Properties>
</file>